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1A5" w:rsidRDefault="00680444" w:rsidP="00680444">
      <w:pPr>
        <w:jc w:val="center"/>
        <w:rPr>
          <w:sz w:val="32"/>
          <w:szCs w:val="32"/>
          <w:u w:val="single"/>
        </w:rPr>
      </w:pPr>
      <w:bookmarkStart w:id="0" w:name="_GoBack"/>
      <w:bookmarkEnd w:id="0"/>
      <w:r>
        <w:rPr>
          <w:sz w:val="32"/>
          <w:szCs w:val="32"/>
          <w:u w:val="single"/>
        </w:rPr>
        <w:t>Civil Rights Disclosure</w:t>
      </w:r>
    </w:p>
    <w:p w:rsidR="00680444" w:rsidRPr="00CA6DB2" w:rsidRDefault="00680444" w:rsidP="00CA6DB2">
      <w:pPr>
        <w:spacing w:line="240" w:lineRule="auto"/>
        <w:rPr>
          <w:rFonts w:ascii="Nyala" w:hAnsi="Nyala"/>
          <w:sz w:val="28"/>
          <w:szCs w:val="28"/>
        </w:rPr>
      </w:pPr>
      <w:r w:rsidRPr="00CA6DB2">
        <w:rPr>
          <w:rFonts w:ascii="Nyala" w:hAnsi="Nyala"/>
          <w:sz w:val="28"/>
          <w:szCs w:val="28"/>
        </w:rPr>
        <w:t xml:space="preserve">The Crossroads program at Holy Trinity Lutheran Church is an equal opportunity program. Students are admitted without regard to race, color, religious creed, disability, ancestry, national origin (including Limited English Proficiency), age or sex. </w:t>
      </w:r>
    </w:p>
    <w:p w:rsidR="00680444" w:rsidRPr="00CA6DB2" w:rsidRDefault="00680444" w:rsidP="00CA6DB2">
      <w:pPr>
        <w:spacing w:line="240" w:lineRule="auto"/>
        <w:rPr>
          <w:rFonts w:ascii="Nyala" w:hAnsi="Nyala"/>
          <w:sz w:val="28"/>
          <w:szCs w:val="28"/>
        </w:rPr>
      </w:pPr>
      <w:r w:rsidRPr="00CA6DB2">
        <w:rPr>
          <w:rFonts w:ascii="Nyala" w:hAnsi="Nyala"/>
          <w:sz w:val="28"/>
          <w:szCs w:val="28"/>
        </w:rPr>
        <w:t xml:space="preserve">The program and it’s services will make reasonable accommodation through the most practical and economically feasible methods available for those with disabilities. </w:t>
      </w:r>
    </w:p>
    <w:p w:rsidR="00680444" w:rsidRPr="00CA6DB2" w:rsidRDefault="00680444" w:rsidP="00CA6DB2">
      <w:pPr>
        <w:spacing w:line="240" w:lineRule="auto"/>
        <w:rPr>
          <w:rFonts w:ascii="Nyala" w:hAnsi="Nyala"/>
          <w:sz w:val="28"/>
          <w:szCs w:val="28"/>
        </w:rPr>
      </w:pPr>
      <w:r w:rsidRPr="00CA6DB2">
        <w:rPr>
          <w:rFonts w:ascii="Nyala" w:hAnsi="Nyala"/>
          <w:sz w:val="28"/>
          <w:szCs w:val="28"/>
        </w:rPr>
        <w:t>Any individual who feels that they have been discriminated against may file a complaint with:</w:t>
      </w:r>
    </w:p>
    <w:p w:rsidR="00680444" w:rsidRPr="00CA6DB2" w:rsidRDefault="00680444" w:rsidP="00CA6DB2">
      <w:pPr>
        <w:spacing w:line="240" w:lineRule="auto"/>
        <w:rPr>
          <w:b/>
          <w:sz w:val="24"/>
          <w:szCs w:val="24"/>
        </w:rPr>
      </w:pPr>
      <w:r w:rsidRPr="00CA6DB2">
        <w:rPr>
          <w:b/>
          <w:sz w:val="24"/>
          <w:szCs w:val="24"/>
        </w:rPr>
        <w:t>Holy Trinity Lutheran Church</w:t>
      </w:r>
      <w:r w:rsidRPr="00CA6DB2">
        <w:rPr>
          <w:b/>
          <w:sz w:val="24"/>
          <w:szCs w:val="24"/>
        </w:rPr>
        <w:tab/>
      </w:r>
      <w:r w:rsidRPr="00CA6DB2">
        <w:rPr>
          <w:b/>
          <w:sz w:val="24"/>
          <w:szCs w:val="24"/>
        </w:rPr>
        <w:tab/>
      </w:r>
      <w:r w:rsidRPr="00CA6DB2">
        <w:rPr>
          <w:b/>
          <w:sz w:val="24"/>
          <w:szCs w:val="24"/>
        </w:rPr>
        <w:tab/>
      </w:r>
    </w:p>
    <w:p w:rsidR="00680444" w:rsidRPr="00CA6DB2" w:rsidRDefault="00680444" w:rsidP="00CA6DB2">
      <w:pPr>
        <w:spacing w:line="240" w:lineRule="auto"/>
        <w:rPr>
          <w:b/>
          <w:sz w:val="24"/>
          <w:szCs w:val="24"/>
        </w:rPr>
      </w:pPr>
      <w:r w:rsidRPr="00CA6DB2">
        <w:rPr>
          <w:b/>
          <w:sz w:val="24"/>
          <w:szCs w:val="24"/>
        </w:rPr>
        <w:t>927 S. Providence Road</w:t>
      </w:r>
    </w:p>
    <w:p w:rsidR="00680444" w:rsidRPr="00CA6DB2" w:rsidRDefault="00680444" w:rsidP="00CA6DB2">
      <w:pPr>
        <w:spacing w:line="240" w:lineRule="auto"/>
        <w:rPr>
          <w:b/>
          <w:sz w:val="24"/>
          <w:szCs w:val="24"/>
        </w:rPr>
      </w:pPr>
      <w:r w:rsidRPr="00CA6DB2">
        <w:rPr>
          <w:b/>
          <w:sz w:val="24"/>
          <w:szCs w:val="24"/>
        </w:rPr>
        <w:t>Wallingford, Pa 19086</w:t>
      </w:r>
    </w:p>
    <w:p w:rsidR="00680444" w:rsidRDefault="00680444" w:rsidP="00CA6DB2">
      <w:pPr>
        <w:spacing w:line="240" w:lineRule="auto"/>
        <w:rPr>
          <w:b/>
          <w:sz w:val="32"/>
          <w:szCs w:val="32"/>
        </w:rPr>
      </w:pPr>
      <w:r>
        <w:rPr>
          <w:b/>
          <w:sz w:val="32"/>
          <w:szCs w:val="32"/>
        </w:rPr>
        <w:tab/>
      </w:r>
      <w:r>
        <w:rPr>
          <w:b/>
          <w:sz w:val="32"/>
          <w:szCs w:val="32"/>
        </w:rPr>
        <w:tab/>
      </w:r>
      <w:r>
        <w:rPr>
          <w:b/>
          <w:sz w:val="32"/>
          <w:szCs w:val="32"/>
        </w:rPr>
        <w:tab/>
      </w:r>
      <w:r>
        <w:rPr>
          <w:b/>
          <w:sz w:val="32"/>
          <w:szCs w:val="32"/>
        </w:rPr>
        <w:tab/>
      </w:r>
      <w:r>
        <w:rPr>
          <w:b/>
          <w:sz w:val="32"/>
          <w:szCs w:val="32"/>
        </w:rPr>
        <w:tab/>
        <w:t>Or any of the following agencies:</w:t>
      </w:r>
    </w:p>
    <w:p w:rsidR="00680444" w:rsidRPr="00CA6DB2" w:rsidRDefault="00680444" w:rsidP="00CA6DB2">
      <w:pPr>
        <w:spacing w:line="240" w:lineRule="auto"/>
        <w:rPr>
          <w:b/>
          <w:sz w:val="24"/>
          <w:szCs w:val="24"/>
        </w:rPr>
      </w:pPr>
      <w:r w:rsidRPr="00CA6DB2">
        <w:rPr>
          <w:b/>
          <w:sz w:val="24"/>
          <w:szCs w:val="24"/>
        </w:rPr>
        <w:t>Department of Public Welfare</w:t>
      </w:r>
      <w:r w:rsidRPr="00CA6DB2">
        <w:rPr>
          <w:b/>
          <w:sz w:val="24"/>
          <w:szCs w:val="24"/>
        </w:rPr>
        <w:tab/>
      </w:r>
      <w:r w:rsidRPr="00CA6DB2">
        <w:rPr>
          <w:b/>
          <w:sz w:val="24"/>
          <w:szCs w:val="24"/>
        </w:rPr>
        <w:tab/>
      </w:r>
      <w:r w:rsidRPr="00CA6DB2">
        <w:rPr>
          <w:b/>
          <w:sz w:val="24"/>
          <w:szCs w:val="24"/>
        </w:rPr>
        <w:tab/>
        <w:t>PA Human Relations Commission</w:t>
      </w:r>
    </w:p>
    <w:p w:rsidR="00680444" w:rsidRPr="00CA6DB2" w:rsidRDefault="00680444" w:rsidP="00CA6DB2">
      <w:pPr>
        <w:spacing w:line="240" w:lineRule="auto"/>
        <w:rPr>
          <w:sz w:val="24"/>
          <w:szCs w:val="24"/>
        </w:rPr>
      </w:pPr>
      <w:r w:rsidRPr="00CA6DB2">
        <w:rPr>
          <w:sz w:val="24"/>
          <w:szCs w:val="24"/>
        </w:rPr>
        <w:t>Bureau of Equal Oppurtunity</w:t>
      </w:r>
      <w:r w:rsidRPr="00CA6DB2">
        <w:rPr>
          <w:sz w:val="24"/>
          <w:szCs w:val="24"/>
        </w:rPr>
        <w:tab/>
      </w:r>
      <w:r w:rsidRPr="00CA6DB2">
        <w:rPr>
          <w:sz w:val="24"/>
          <w:szCs w:val="24"/>
        </w:rPr>
        <w:tab/>
      </w:r>
      <w:r w:rsidRPr="00CA6DB2">
        <w:rPr>
          <w:sz w:val="24"/>
          <w:szCs w:val="24"/>
        </w:rPr>
        <w:tab/>
        <w:t>Philadelphia Regional Office</w:t>
      </w:r>
    </w:p>
    <w:p w:rsidR="00680444" w:rsidRPr="00CA6DB2" w:rsidRDefault="00680444" w:rsidP="00CA6DB2">
      <w:pPr>
        <w:spacing w:line="240" w:lineRule="auto"/>
        <w:rPr>
          <w:sz w:val="24"/>
          <w:szCs w:val="24"/>
        </w:rPr>
      </w:pPr>
      <w:r w:rsidRPr="00CA6DB2">
        <w:rPr>
          <w:sz w:val="24"/>
          <w:szCs w:val="24"/>
        </w:rPr>
        <w:t>Room 223, Health &amp; Welfare Bldg.</w:t>
      </w:r>
      <w:r w:rsidRPr="00CA6DB2">
        <w:rPr>
          <w:sz w:val="24"/>
          <w:szCs w:val="24"/>
        </w:rPr>
        <w:tab/>
      </w:r>
      <w:r w:rsidRPr="00CA6DB2">
        <w:rPr>
          <w:sz w:val="24"/>
          <w:szCs w:val="24"/>
        </w:rPr>
        <w:tab/>
        <w:t>110 N. 8</w:t>
      </w:r>
      <w:r w:rsidRPr="00CA6DB2">
        <w:rPr>
          <w:sz w:val="24"/>
          <w:szCs w:val="24"/>
          <w:vertAlign w:val="superscript"/>
        </w:rPr>
        <w:t>th</w:t>
      </w:r>
      <w:r w:rsidRPr="00CA6DB2">
        <w:rPr>
          <w:sz w:val="24"/>
          <w:szCs w:val="24"/>
        </w:rPr>
        <w:t xml:space="preserve"> St., Suite 501</w:t>
      </w:r>
    </w:p>
    <w:p w:rsidR="00680444" w:rsidRPr="00CA6DB2" w:rsidRDefault="00680444" w:rsidP="00CA6DB2">
      <w:pPr>
        <w:spacing w:line="240" w:lineRule="auto"/>
        <w:rPr>
          <w:sz w:val="24"/>
          <w:szCs w:val="24"/>
        </w:rPr>
      </w:pPr>
      <w:r w:rsidRPr="00CA6DB2">
        <w:rPr>
          <w:sz w:val="24"/>
          <w:szCs w:val="24"/>
        </w:rPr>
        <w:t>PO Box 2675</w:t>
      </w:r>
      <w:r w:rsidRPr="00CA6DB2">
        <w:rPr>
          <w:sz w:val="24"/>
          <w:szCs w:val="24"/>
        </w:rPr>
        <w:tab/>
      </w:r>
      <w:r w:rsidRPr="00CA6DB2">
        <w:rPr>
          <w:sz w:val="24"/>
          <w:szCs w:val="24"/>
        </w:rPr>
        <w:tab/>
      </w:r>
      <w:r w:rsidRPr="00CA6DB2">
        <w:rPr>
          <w:sz w:val="24"/>
          <w:szCs w:val="24"/>
        </w:rPr>
        <w:tab/>
      </w:r>
      <w:r w:rsidRPr="00CA6DB2">
        <w:rPr>
          <w:sz w:val="24"/>
          <w:szCs w:val="24"/>
        </w:rPr>
        <w:tab/>
      </w:r>
      <w:r w:rsidRPr="00CA6DB2">
        <w:rPr>
          <w:sz w:val="24"/>
          <w:szCs w:val="24"/>
        </w:rPr>
        <w:tab/>
        <w:t>Philadelphia, Pa 19107</w:t>
      </w:r>
    </w:p>
    <w:p w:rsidR="00680444" w:rsidRPr="00CA6DB2" w:rsidRDefault="00680444" w:rsidP="00CA6DB2">
      <w:pPr>
        <w:spacing w:line="240" w:lineRule="auto"/>
        <w:rPr>
          <w:sz w:val="24"/>
          <w:szCs w:val="24"/>
        </w:rPr>
      </w:pPr>
      <w:r w:rsidRPr="00CA6DB2">
        <w:rPr>
          <w:sz w:val="24"/>
          <w:szCs w:val="24"/>
        </w:rPr>
        <w:t>Harrisburg, Pa 17105</w:t>
      </w:r>
    </w:p>
    <w:p w:rsidR="00680444" w:rsidRPr="00CA6DB2" w:rsidRDefault="00680444" w:rsidP="00CA6DB2">
      <w:pPr>
        <w:spacing w:line="240" w:lineRule="auto"/>
        <w:rPr>
          <w:b/>
          <w:sz w:val="24"/>
          <w:szCs w:val="24"/>
        </w:rPr>
      </w:pPr>
      <w:r w:rsidRPr="00CA6DB2">
        <w:rPr>
          <w:b/>
          <w:sz w:val="24"/>
          <w:szCs w:val="24"/>
        </w:rPr>
        <w:t>US Dept. of Health &amp; Human Service</w:t>
      </w:r>
      <w:r w:rsidRPr="00CA6DB2">
        <w:rPr>
          <w:b/>
          <w:sz w:val="24"/>
          <w:szCs w:val="24"/>
        </w:rPr>
        <w:tab/>
      </w:r>
      <w:r w:rsidRPr="00CA6DB2">
        <w:rPr>
          <w:b/>
          <w:sz w:val="24"/>
          <w:szCs w:val="24"/>
        </w:rPr>
        <w:tab/>
        <w:t>Commonwealth of PA</w:t>
      </w:r>
    </w:p>
    <w:p w:rsidR="00680444" w:rsidRPr="00CA6DB2" w:rsidRDefault="00680444" w:rsidP="00CA6DB2">
      <w:pPr>
        <w:spacing w:line="240" w:lineRule="auto"/>
        <w:rPr>
          <w:sz w:val="24"/>
          <w:szCs w:val="24"/>
        </w:rPr>
      </w:pPr>
      <w:r w:rsidRPr="00CA6DB2">
        <w:rPr>
          <w:sz w:val="24"/>
          <w:szCs w:val="24"/>
        </w:rPr>
        <w:t>Office for Civil Rights</w:t>
      </w:r>
      <w:r w:rsidRPr="00CA6DB2">
        <w:rPr>
          <w:sz w:val="24"/>
          <w:szCs w:val="24"/>
        </w:rPr>
        <w:tab/>
      </w:r>
      <w:r w:rsidRPr="00CA6DB2">
        <w:rPr>
          <w:sz w:val="24"/>
          <w:szCs w:val="24"/>
        </w:rPr>
        <w:tab/>
      </w:r>
      <w:r w:rsidRPr="00CA6DB2">
        <w:rPr>
          <w:sz w:val="24"/>
          <w:szCs w:val="24"/>
        </w:rPr>
        <w:tab/>
      </w:r>
      <w:r w:rsidRPr="00CA6DB2">
        <w:rPr>
          <w:sz w:val="24"/>
          <w:szCs w:val="24"/>
        </w:rPr>
        <w:tab/>
        <w:t>DPW Bureau of Equal Opportunity</w:t>
      </w:r>
    </w:p>
    <w:p w:rsidR="00680444" w:rsidRPr="00CA6DB2" w:rsidRDefault="00680444" w:rsidP="00CA6DB2">
      <w:pPr>
        <w:spacing w:line="240" w:lineRule="auto"/>
        <w:rPr>
          <w:sz w:val="24"/>
          <w:szCs w:val="24"/>
        </w:rPr>
      </w:pPr>
      <w:r w:rsidRPr="00CA6DB2">
        <w:rPr>
          <w:sz w:val="24"/>
          <w:szCs w:val="24"/>
        </w:rPr>
        <w:t>Suite 372, Public Ledger Bldg.</w:t>
      </w:r>
      <w:r w:rsidRPr="00CA6DB2">
        <w:rPr>
          <w:sz w:val="24"/>
          <w:szCs w:val="24"/>
        </w:rPr>
        <w:tab/>
      </w:r>
      <w:r w:rsidRPr="00CA6DB2">
        <w:rPr>
          <w:sz w:val="24"/>
          <w:szCs w:val="24"/>
        </w:rPr>
        <w:tab/>
      </w:r>
      <w:r w:rsidRPr="00CA6DB2">
        <w:rPr>
          <w:sz w:val="24"/>
          <w:szCs w:val="24"/>
        </w:rPr>
        <w:tab/>
        <w:t>SE Regional Office</w:t>
      </w:r>
    </w:p>
    <w:p w:rsidR="00680444" w:rsidRPr="00CA6DB2" w:rsidRDefault="00680444" w:rsidP="00CA6DB2">
      <w:pPr>
        <w:spacing w:line="240" w:lineRule="auto"/>
        <w:rPr>
          <w:sz w:val="24"/>
          <w:szCs w:val="24"/>
        </w:rPr>
      </w:pPr>
      <w:r w:rsidRPr="00CA6DB2">
        <w:rPr>
          <w:sz w:val="24"/>
          <w:szCs w:val="24"/>
        </w:rPr>
        <w:t>150 S. Independence Mall West</w:t>
      </w:r>
      <w:r w:rsidRPr="00CA6DB2">
        <w:rPr>
          <w:sz w:val="24"/>
          <w:szCs w:val="24"/>
        </w:rPr>
        <w:tab/>
      </w:r>
      <w:r w:rsidRPr="00CA6DB2">
        <w:rPr>
          <w:sz w:val="24"/>
          <w:szCs w:val="24"/>
        </w:rPr>
        <w:tab/>
        <w:t>801 Market St. Suite 5034</w:t>
      </w:r>
    </w:p>
    <w:p w:rsidR="00680444" w:rsidRPr="00CA6DB2" w:rsidRDefault="00680444" w:rsidP="00CA6DB2">
      <w:pPr>
        <w:spacing w:line="240" w:lineRule="auto"/>
        <w:rPr>
          <w:sz w:val="24"/>
          <w:szCs w:val="24"/>
        </w:rPr>
      </w:pPr>
      <w:r w:rsidRPr="00CA6DB2">
        <w:rPr>
          <w:sz w:val="24"/>
          <w:szCs w:val="24"/>
        </w:rPr>
        <w:t>Philadelphia, Pa 19106-9111</w:t>
      </w:r>
      <w:r w:rsidRPr="00CA6DB2">
        <w:rPr>
          <w:sz w:val="24"/>
          <w:szCs w:val="24"/>
        </w:rPr>
        <w:tab/>
      </w:r>
      <w:r w:rsidRPr="00CA6DB2">
        <w:rPr>
          <w:sz w:val="24"/>
          <w:szCs w:val="24"/>
        </w:rPr>
        <w:tab/>
      </w:r>
      <w:r w:rsidRPr="00CA6DB2">
        <w:rPr>
          <w:sz w:val="24"/>
          <w:szCs w:val="24"/>
        </w:rPr>
        <w:tab/>
        <w:t>Philadelphia, Pa 19107</w:t>
      </w:r>
    </w:p>
    <w:p w:rsidR="00CA6DB2" w:rsidRPr="00CA6DB2" w:rsidRDefault="00CA6DB2" w:rsidP="00CA6DB2">
      <w:pPr>
        <w:spacing w:line="240" w:lineRule="auto"/>
        <w:rPr>
          <w:sz w:val="24"/>
          <w:szCs w:val="24"/>
        </w:rPr>
      </w:pPr>
    </w:p>
    <w:p w:rsidR="00CA6DB2" w:rsidRDefault="00CA6DB2" w:rsidP="00CA6DB2">
      <w:pPr>
        <w:spacing w:line="240" w:lineRule="auto"/>
        <w:rPr>
          <w:sz w:val="28"/>
          <w:szCs w:val="28"/>
          <w:u w:val="single"/>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rPr>
        <w:tab/>
      </w:r>
      <w:r>
        <w:rPr>
          <w:sz w:val="28"/>
          <w:szCs w:val="28"/>
        </w:rPr>
        <w:tab/>
      </w:r>
      <w:r>
        <w:rPr>
          <w:sz w:val="28"/>
          <w:szCs w:val="28"/>
          <w:u w:val="single"/>
        </w:rPr>
        <w:tab/>
      </w:r>
      <w:r>
        <w:rPr>
          <w:sz w:val="28"/>
          <w:szCs w:val="28"/>
          <w:u w:val="single"/>
        </w:rPr>
        <w:tab/>
      </w:r>
      <w:r>
        <w:rPr>
          <w:sz w:val="28"/>
          <w:szCs w:val="28"/>
          <w:u w:val="single"/>
        </w:rPr>
        <w:tab/>
      </w:r>
    </w:p>
    <w:p w:rsidR="00CA6DB2" w:rsidRDefault="00CA6DB2" w:rsidP="00CA6DB2">
      <w:pPr>
        <w:spacing w:line="240" w:lineRule="auto"/>
        <w:rPr>
          <w:rFonts w:ascii="Nyala" w:hAnsi="Nyala"/>
          <w:sz w:val="28"/>
          <w:szCs w:val="28"/>
        </w:rPr>
      </w:pPr>
      <w:r>
        <w:rPr>
          <w:rFonts w:ascii="Nyala" w:hAnsi="Nyala"/>
          <w:sz w:val="28"/>
          <w:szCs w:val="28"/>
        </w:rPr>
        <w:t>Parent/Guardian Signature</w:t>
      </w:r>
      <w:r>
        <w:rPr>
          <w:rFonts w:ascii="Nyala" w:hAnsi="Nyala"/>
          <w:sz w:val="28"/>
          <w:szCs w:val="28"/>
        </w:rPr>
        <w:tab/>
      </w:r>
      <w:r>
        <w:rPr>
          <w:rFonts w:ascii="Nyala" w:hAnsi="Nyala"/>
          <w:sz w:val="28"/>
          <w:szCs w:val="28"/>
        </w:rPr>
        <w:tab/>
      </w:r>
      <w:r>
        <w:rPr>
          <w:rFonts w:ascii="Nyala" w:hAnsi="Nyala"/>
          <w:sz w:val="28"/>
          <w:szCs w:val="28"/>
        </w:rPr>
        <w:tab/>
      </w:r>
      <w:r>
        <w:rPr>
          <w:rFonts w:ascii="Nyala" w:hAnsi="Nyala"/>
          <w:sz w:val="28"/>
          <w:szCs w:val="28"/>
        </w:rPr>
        <w:tab/>
      </w:r>
      <w:r>
        <w:rPr>
          <w:rFonts w:ascii="Nyala" w:hAnsi="Nyala"/>
          <w:sz w:val="28"/>
          <w:szCs w:val="28"/>
        </w:rPr>
        <w:tab/>
      </w:r>
      <w:r>
        <w:rPr>
          <w:rFonts w:ascii="Nyala" w:hAnsi="Nyala"/>
          <w:sz w:val="28"/>
          <w:szCs w:val="28"/>
        </w:rPr>
        <w:tab/>
        <w:t>Date</w:t>
      </w:r>
    </w:p>
    <w:p w:rsidR="00CA6DB2" w:rsidRPr="00CA6DB2" w:rsidRDefault="00CA6DB2" w:rsidP="00CA6DB2">
      <w:pPr>
        <w:spacing w:line="240" w:lineRule="auto"/>
        <w:rPr>
          <w:rFonts w:ascii="Nyala" w:hAnsi="Nyala"/>
          <w:sz w:val="28"/>
          <w:szCs w:val="28"/>
          <w:u w:val="single"/>
        </w:rPr>
      </w:pPr>
      <w:r>
        <w:rPr>
          <w:rFonts w:ascii="Nyala" w:hAnsi="Nyala"/>
          <w:sz w:val="28"/>
          <w:szCs w:val="28"/>
          <w:u w:val="single"/>
        </w:rPr>
        <w:tab/>
      </w:r>
      <w:r>
        <w:rPr>
          <w:rFonts w:ascii="Nyala" w:hAnsi="Nyala"/>
          <w:sz w:val="28"/>
          <w:szCs w:val="28"/>
          <w:u w:val="single"/>
        </w:rPr>
        <w:tab/>
      </w:r>
      <w:r>
        <w:rPr>
          <w:rFonts w:ascii="Nyala" w:hAnsi="Nyala"/>
          <w:sz w:val="28"/>
          <w:szCs w:val="28"/>
          <w:u w:val="single"/>
        </w:rPr>
        <w:tab/>
      </w:r>
      <w:r>
        <w:rPr>
          <w:rFonts w:ascii="Nyala" w:hAnsi="Nyala"/>
          <w:sz w:val="28"/>
          <w:szCs w:val="28"/>
          <w:u w:val="single"/>
        </w:rPr>
        <w:tab/>
      </w:r>
      <w:r>
        <w:rPr>
          <w:rFonts w:ascii="Nyala" w:hAnsi="Nyala"/>
          <w:sz w:val="28"/>
          <w:szCs w:val="28"/>
          <w:u w:val="single"/>
        </w:rPr>
        <w:tab/>
      </w:r>
      <w:r>
        <w:rPr>
          <w:rFonts w:ascii="Nyala" w:hAnsi="Nyala"/>
          <w:sz w:val="28"/>
          <w:szCs w:val="28"/>
          <w:u w:val="single"/>
        </w:rPr>
        <w:tab/>
      </w:r>
      <w:r>
        <w:rPr>
          <w:rFonts w:ascii="Nyala" w:hAnsi="Nyala"/>
          <w:sz w:val="28"/>
          <w:szCs w:val="28"/>
          <w:u w:val="single"/>
        </w:rPr>
        <w:tab/>
      </w:r>
      <w:r>
        <w:rPr>
          <w:rFonts w:ascii="Nyala" w:hAnsi="Nyala"/>
          <w:sz w:val="28"/>
          <w:szCs w:val="28"/>
        </w:rPr>
        <w:tab/>
      </w:r>
      <w:r>
        <w:rPr>
          <w:rFonts w:ascii="Nyala" w:hAnsi="Nyala"/>
          <w:sz w:val="28"/>
          <w:szCs w:val="28"/>
        </w:rPr>
        <w:tab/>
      </w:r>
      <w:r>
        <w:rPr>
          <w:rFonts w:ascii="Nyala" w:hAnsi="Nyala"/>
          <w:sz w:val="28"/>
          <w:szCs w:val="28"/>
          <w:u w:val="single"/>
        </w:rPr>
        <w:tab/>
      </w:r>
      <w:r>
        <w:rPr>
          <w:rFonts w:ascii="Nyala" w:hAnsi="Nyala"/>
          <w:sz w:val="28"/>
          <w:szCs w:val="28"/>
          <w:u w:val="single"/>
        </w:rPr>
        <w:tab/>
      </w:r>
      <w:r>
        <w:rPr>
          <w:rFonts w:ascii="Nyala" w:hAnsi="Nyala"/>
          <w:sz w:val="28"/>
          <w:szCs w:val="28"/>
          <w:u w:val="single"/>
        </w:rPr>
        <w:tab/>
      </w:r>
    </w:p>
    <w:p w:rsidR="00CA6DB2" w:rsidRDefault="00CA6DB2" w:rsidP="00CA6DB2">
      <w:pPr>
        <w:spacing w:line="240" w:lineRule="auto"/>
        <w:rPr>
          <w:rFonts w:ascii="Nyala" w:hAnsi="Nyala"/>
          <w:sz w:val="28"/>
          <w:szCs w:val="28"/>
        </w:rPr>
      </w:pPr>
      <w:r>
        <w:rPr>
          <w:rFonts w:ascii="Nyala" w:hAnsi="Nyala"/>
          <w:sz w:val="28"/>
          <w:szCs w:val="28"/>
        </w:rPr>
        <w:t>Director Signature</w:t>
      </w:r>
      <w:r>
        <w:rPr>
          <w:rFonts w:ascii="Nyala" w:hAnsi="Nyala"/>
          <w:sz w:val="28"/>
          <w:szCs w:val="28"/>
        </w:rPr>
        <w:tab/>
      </w:r>
      <w:r>
        <w:rPr>
          <w:rFonts w:ascii="Nyala" w:hAnsi="Nyala"/>
          <w:sz w:val="28"/>
          <w:szCs w:val="28"/>
        </w:rPr>
        <w:tab/>
      </w:r>
      <w:r>
        <w:rPr>
          <w:rFonts w:ascii="Nyala" w:hAnsi="Nyala"/>
          <w:sz w:val="28"/>
          <w:szCs w:val="28"/>
        </w:rPr>
        <w:tab/>
      </w:r>
      <w:r>
        <w:rPr>
          <w:rFonts w:ascii="Nyala" w:hAnsi="Nyala"/>
          <w:sz w:val="28"/>
          <w:szCs w:val="28"/>
        </w:rPr>
        <w:tab/>
      </w:r>
      <w:r>
        <w:rPr>
          <w:rFonts w:ascii="Nyala" w:hAnsi="Nyala"/>
          <w:sz w:val="28"/>
          <w:szCs w:val="28"/>
        </w:rPr>
        <w:tab/>
      </w:r>
      <w:r>
        <w:rPr>
          <w:rFonts w:ascii="Nyala" w:hAnsi="Nyala"/>
          <w:sz w:val="28"/>
          <w:szCs w:val="28"/>
        </w:rPr>
        <w:tab/>
      </w:r>
      <w:r>
        <w:rPr>
          <w:rFonts w:ascii="Nyala" w:hAnsi="Nyala"/>
          <w:sz w:val="28"/>
          <w:szCs w:val="28"/>
        </w:rPr>
        <w:tab/>
        <w:t>Date</w:t>
      </w:r>
    </w:p>
    <w:p w:rsidR="00CA6DB2" w:rsidRPr="00CA6DB2" w:rsidRDefault="00CA6DB2" w:rsidP="00CA6DB2">
      <w:pPr>
        <w:spacing w:line="240" w:lineRule="auto"/>
        <w:rPr>
          <w:rFonts w:ascii="Nyala" w:hAnsi="Nyala"/>
          <w:sz w:val="28"/>
          <w:szCs w:val="28"/>
        </w:rPr>
      </w:pPr>
    </w:p>
    <w:sectPr w:rsidR="00CA6DB2" w:rsidRPr="00CA6D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yala">
    <w:panose1 w:val="02000504070300020003"/>
    <w:charset w:val="00"/>
    <w:family w:val="auto"/>
    <w:pitch w:val="variable"/>
    <w:sig w:usb0="A000006F" w:usb1="00000000" w:usb2="000008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444"/>
    <w:rsid w:val="00680444"/>
    <w:rsid w:val="0073648E"/>
    <w:rsid w:val="009011A5"/>
    <w:rsid w:val="00CA6DB2"/>
    <w:rsid w:val="00DC4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6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4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6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4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2012-06-27T15:18:00Z</cp:lastPrinted>
  <dcterms:created xsi:type="dcterms:W3CDTF">2012-12-07T19:04:00Z</dcterms:created>
  <dcterms:modified xsi:type="dcterms:W3CDTF">2012-12-07T19:04:00Z</dcterms:modified>
</cp:coreProperties>
</file>